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การขอรับใบอนุญาตประกอบกิจการที่เป็นอันตรายต่อสุขภาพ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ที่เป็นอันตรายต่อสุขภาพตามกฎหมายว่าด้วยการสาธารณสุขในลักษณะที่เป็นการค้า</w:t>
        <w:br/>
        <w:t xml:space="preserve"/>
        <w:br/>
        <w:t xml:space="preserve">ต้องยื่นคำขอรับใบอนุญาตต่อเจ้าพนักงานท้องถิ่น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/>
        <w:br/>
        <w:t xml:space="preserve"/>
        <w:tab/>
        <w:t xml:space="preserve">ก่อนการก่อสร้างหรือปรับปรุงอาคารเพื่อใช้ประกอบกิจการที่เป็นอันตรายต่อสุขภาพ ผู้ประกอบการจะต้องตรวจสอบดังนี้</w:t>
        <w:br/>
        <w:t xml:space="preserve"/>
        <w:br/>
        <w:t xml:space="preserve"/>
        <w:br/>
        <w:t xml:space="preserve">    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   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5.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</w:t>
              <w:br/>
              <w:t xml:space="preserve">    อันตรายต่อสุขภาพ ตามแบบ อภ.1 พร้อมเอกสารหลักฐาน </w:t>
              <w:br/>
              <w:t xml:space="preserve">    และเจ้าหน้าที่ลงทะเบียนรับคำขอรับใบอนุญาต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การพิจารณาอนุญาต/ไม่อนุญาตและการตรวจสอบสถานประกอบการ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(1.พิจารณากฎหมายอื่นที่เกี่ยวข้อง10 วัน</w:t>
              <w:br/>
              <w:t xml:space="preserve">2. 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ใบอนุญาตประกอบอาชีพค้าของเก่า  ใบอนุญาต/ใบรับแจ้งการประกอบกิจการโรงงาน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การขอรับใบอนุญาตประกอบกิจการที่เป็นอันตรายต่อสุขภาพ (รายใหม่)</w:t>
              <w:br/>
              <w:t xml:space="preserve"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 : คิดตามขนาดของการประกอบกิจการ เช่น จำนวนแรงม้าของเครื่องจักรที่ใช้ในการประกอบกิจการ จำนวนพื้นที่ให้บริการ เป็นต้น)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กฎกระทรวงกำหนดอาคารประเภทควบคุมการใช้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